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51FC" w:rsidRDefault="00AA51FC" w:rsidP="00AA51FC">
      <w:pPr>
        <w:jc w:val="center"/>
      </w:pPr>
    </w:p>
    <w:p w:rsidR="00AA51FC" w:rsidRDefault="00AA51FC" w:rsidP="00AA51FC">
      <w:pPr>
        <w:jc w:val="center"/>
      </w:pPr>
    </w:p>
    <w:p w:rsidR="00AA51FC" w:rsidRDefault="00AA51FC" w:rsidP="00AA51FC">
      <w:pPr>
        <w:jc w:val="center"/>
      </w:pPr>
    </w:p>
    <w:p w:rsidR="00AA51FC" w:rsidRDefault="00AA51FC" w:rsidP="00AA51FC">
      <w:pPr>
        <w:jc w:val="center"/>
      </w:pPr>
    </w:p>
    <w:p w:rsidR="00AA51FC" w:rsidRDefault="00AA51FC" w:rsidP="00AA51FC">
      <w:pPr>
        <w:jc w:val="center"/>
      </w:pPr>
    </w:p>
    <w:p w:rsidR="00AA51FC" w:rsidRDefault="00AA51FC" w:rsidP="00AA51FC">
      <w:pPr>
        <w:jc w:val="center"/>
      </w:pPr>
    </w:p>
    <w:p w:rsidR="00AA51FC" w:rsidRDefault="00AA51FC" w:rsidP="00AA51FC">
      <w:pPr>
        <w:jc w:val="center"/>
      </w:pPr>
    </w:p>
    <w:p w:rsidR="00AA51FC" w:rsidRDefault="00AA51FC" w:rsidP="00AA51FC">
      <w:pPr>
        <w:jc w:val="center"/>
      </w:pPr>
    </w:p>
    <w:p w:rsidR="00AA51FC" w:rsidRDefault="00AA51FC" w:rsidP="00AA51FC">
      <w:pPr>
        <w:jc w:val="center"/>
      </w:pPr>
    </w:p>
    <w:p w:rsidR="00AA51FC" w:rsidRPr="00AA51FC" w:rsidRDefault="00AA51FC" w:rsidP="00AA51FC">
      <w:pPr>
        <w:jc w:val="center"/>
      </w:pPr>
      <w:bookmarkStart w:id="0" w:name="_GoBack"/>
      <w:r w:rsidRPr="00AA51FC">
        <w:t>Outcome Measures, Issues and Opportunities Spreadsheet</w:t>
      </w:r>
    </w:p>
    <w:bookmarkEnd w:id="0"/>
    <w:p w:rsidR="00AA51FC" w:rsidRPr="00AA51FC" w:rsidRDefault="00AA51FC" w:rsidP="00AA51FC">
      <w:pPr>
        <w:jc w:val="center"/>
      </w:pPr>
      <w:r w:rsidRPr="00AA51FC">
        <w:t>Student Name</w:t>
      </w:r>
    </w:p>
    <w:p w:rsidR="00AA51FC" w:rsidRPr="00AA51FC" w:rsidRDefault="00AA51FC" w:rsidP="00AA51FC">
      <w:pPr>
        <w:jc w:val="center"/>
      </w:pPr>
      <w:r w:rsidRPr="00AA51FC">
        <w:t>Institution Affiliation</w:t>
      </w:r>
    </w:p>
    <w:p w:rsidR="00AA51FC" w:rsidRDefault="00AA51FC">
      <w:pPr>
        <w:jc w:val="left"/>
      </w:pPr>
      <w:r>
        <w:br w:type="page"/>
      </w:r>
    </w:p>
    <w:tbl>
      <w:tblPr>
        <w:tblStyle w:val="TableGrid"/>
        <w:tblpPr w:leftFromText="180" w:rightFromText="180" w:vertAnchor="page" w:horzAnchor="margin" w:tblpY="1756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A51FC" w:rsidRPr="00AA51FC" w:rsidTr="00AA51FC">
        <w:trPr>
          <w:trHeight w:val="440"/>
        </w:trPr>
        <w:tc>
          <w:tcPr>
            <w:tcW w:w="4675" w:type="dxa"/>
            <w:shd w:val="clear" w:color="auto" w:fill="538135" w:themeFill="accent6" w:themeFillShade="BF"/>
          </w:tcPr>
          <w:p w:rsidR="00AA51FC" w:rsidRPr="00AA51FC" w:rsidRDefault="00AA51FC" w:rsidP="00AA51FC">
            <w:pPr>
              <w:spacing w:after="160" w:line="259" w:lineRule="auto"/>
            </w:pPr>
            <w:r w:rsidRPr="00AA51FC">
              <w:rPr>
                <w:b/>
              </w:rPr>
              <w:lastRenderedPageBreak/>
              <w:t>Measure</w:t>
            </w:r>
          </w:p>
        </w:tc>
        <w:tc>
          <w:tcPr>
            <w:tcW w:w="4675" w:type="dxa"/>
            <w:shd w:val="clear" w:color="auto" w:fill="538135" w:themeFill="accent6" w:themeFillShade="BF"/>
          </w:tcPr>
          <w:p w:rsidR="00AA51FC" w:rsidRPr="00AA51FC" w:rsidRDefault="00AA51FC" w:rsidP="00AA51FC">
            <w:pPr>
              <w:spacing w:after="160" w:line="259" w:lineRule="auto"/>
            </w:pPr>
            <w:r w:rsidRPr="00AA51FC">
              <w:rPr>
                <w:b/>
              </w:rPr>
              <w:t>Outcome</w:t>
            </w:r>
          </w:p>
        </w:tc>
      </w:tr>
      <w:tr w:rsidR="00AA51FC" w:rsidRPr="00AA51FC" w:rsidTr="00AA51FC">
        <w:tc>
          <w:tcPr>
            <w:tcW w:w="4675" w:type="dxa"/>
            <w:shd w:val="clear" w:color="auto" w:fill="5B9BD5" w:themeFill="accent1"/>
          </w:tcPr>
          <w:p w:rsidR="00AA51FC" w:rsidRPr="00AA51FC" w:rsidRDefault="00AA51FC" w:rsidP="00AA51FC">
            <w:pPr>
              <w:spacing w:after="160" w:line="259" w:lineRule="auto"/>
            </w:pPr>
            <w:r w:rsidRPr="00AA51FC">
              <w:t>Prior identification of risk factors (skin healthcare, mobility, and nutrition).</w:t>
            </w:r>
          </w:p>
        </w:tc>
        <w:tc>
          <w:tcPr>
            <w:tcW w:w="4675" w:type="dxa"/>
            <w:shd w:val="clear" w:color="auto" w:fill="5B9BD5" w:themeFill="accent1"/>
          </w:tcPr>
          <w:p w:rsidR="00AA51FC" w:rsidRPr="00AA51FC" w:rsidRDefault="00AA51FC" w:rsidP="00AA51FC">
            <w:pPr>
              <w:spacing w:after="160" w:line="259" w:lineRule="auto"/>
            </w:pPr>
            <w:r w:rsidRPr="00AA51FC">
              <w:t>Prevention and intervention of pressure ulcers at the early stages.</w:t>
            </w:r>
          </w:p>
        </w:tc>
      </w:tr>
      <w:tr w:rsidR="00AA51FC" w:rsidRPr="00AA51FC" w:rsidTr="00AA51FC">
        <w:tc>
          <w:tcPr>
            <w:tcW w:w="4675" w:type="dxa"/>
            <w:shd w:val="clear" w:color="auto" w:fill="ED7D31" w:themeFill="accent2"/>
          </w:tcPr>
          <w:p w:rsidR="00AA51FC" w:rsidRPr="00AA51FC" w:rsidRDefault="00AA51FC" w:rsidP="00AA51FC">
            <w:pPr>
              <w:spacing w:after="160" w:line="259" w:lineRule="auto"/>
            </w:pPr>
            <w:r w:rsidRPr="00AA51FC">
              <w:t>Assessments and staff education</w:t>
            </w:r>
          </w:p>
        </w:tc>
        <w:tc>
          <w:tcPr>
            <w:tcW w:w="4675" w:type="dxa"/>
            <w:shd w:val="clear" w:color="auto" w:fill="ED7D31" w:themeFill="accent2"/>
          </w:tcPr>
          <w:p w:rsidR="00AA51FC" w:rsidRPr="00AA51FC" w:rsidRDefault="00AA51FC" w:rsidP="00AA51FC">
            <w:pPr>
              <w:spacing w:after="160" w:line="259" w:lineRule="auto"/>
            </w:pPr>
            <w:r w:rsidRPr="00AA51FC">
              <w:t xml:space="preserve">Monitoring of pressure ulcers patients upon arrival. Behavior change ensuring that the healthcare facility complies with pressure ulcer reduction. </w:t>
            </w:r>
          </w:p>
        </w:tc>
      </w:tr>
      <w:tr w:rsidR="00AA51FC" w:rsidRPr="00AA51FC" w:rsidTr="00AA51FC">
        <w:tc>
          <w:tcPr>
            <w:tcW w:w="4675" w:type="dxa"/>
            <w:shd w:val="clear" w:color="auto" w:fill="A5A5A5" w:themeFill="accent3"/>
          </w:tcPr>
          <w:p w:rsidR="00AA51FC" w:rsidRPr="00AA51FC" w:rsidRDefault="00AA51FC" w:rsidP="00AA51FC">
            <w:pPr>
              <w:spacing w:after="160" w:line="259" w:lineRule="auto"/>
            </w:pPr>
            <w:r w:rsidRPr="00AA51FC">
              <w:t>Follow-up evaluation</w:t>
            </w:r>
          </w:p>
        </w:tc>
        <w:tc>
          <w:tcPr>
            <w:tcW w:w="4675" w:type="dxa"/>
            <w:shd w:val="clear" w:color="auto" w:fill="A5A5A5" w:themeFill="accent3"/>
          </w:tcPr>
          <w:p w:rsidR="00AA51FC" w:rsidRPr="00AA51FC" w:rsidRDefault="00AA51FC" w:rsidP="00AA51FC">
            <w:pPr>
              <w:spacing w:after="160" w:line="259" w:lineRule="auto"/>
            </w:pPr>
            <w:r w:rsidRPr="00AA51FC">
              <w:t xml:space="preserve">Observation of pressure ulcer patients in every shift to identify whether they are making positive improvements. </w:t>
            </w:r>
          </w:p>
        </w:tc>
      </w:tr>
      <w:tr w:rsidR="00AA51FC" w:rsidRPr="00AA51FC" w:rsidTr="00AA51FC">
        <w:tc>
          <w:tcPr>
            <w:tcW w:w="4675" w:type="dxa"/>
            <w:shd w:val="clear" w:color="auto" w:fill="FFC000" w:themeFill="accent4"/>
          </w:tcPr>
          <w:p w:rsidR="00AA51FC" w:rsidRPr="00AA51FC" w:rsidRDefault="00AA51FC" w:rsidP="00AA51FC">
            <w:pPr>
              <w:spacing w:after="160" w:line="259" w:lineRule="auto"/>
            </w:pPr>
            <w:r w:rsidRPr="00AA51FC">
              <w:t xml:space="preserve">Repositioning of schedules </w:t>
            </w:r>
          </w:p>
        </w:tc>
        <w:tc>
          <w:tcPr>
            <w:tcW w:w="4675" w:type="dxa"/>
            <w:shd w:val="clear" w:color="auto" w:fill="FFC000" w:themeFill="accent4"/>
          </w:tcPr>
          <w:p w:rsidR="00AA51FC" w:rsidRPr="00AA51FC" w:rsidRDefault="00AA51FC" w:rsidP="00AA51FC">
            <w:pPr>
              <w:spacing w:after="160" w:line="259" w:lineRule="auto"/>
            </w:pPr>
            <w:r w:rsidRPr="00AA51FC">
              <w:t>Prevention protocols in pressure ulcer patients</w:t>
            </w:r>
          </w:p>
        </w:tc>
      </w:tr>
      <w:tr w:rsidR="00AA51FC" w:rsidRPr="00AA51FC" w:rsidTr="00AA51FC">
        <w:tc>
          <w:tcPr>
            <w:tcW w:w="4675" w:type="dxa"/>
            <w:shd w:val="clear" w:color="auto" w:fill="1F4E79" w:themeFill="accent1" w:themeFillShade="80"/>
          </w:tcPr>
          <w:p w:rsidR="00AA51FC" w:rsidRPr="00AA51FC" w:rsidRDefault="00AA51FC" w:rsidP="00AA51FC">
            <w:pPr>
              <w:spacing w:after="160" w:line="259" w:lineRule="auto"/>
            </w:pPr>
            <w:r w:rsidRPr="00AA51FC">
              <w:t xml:space="preserve">Interventions </w:t>
            </w:r>
          </w:p>
        </w:tc>
        <w:tc>
          <w:tcPr>
            <w:tcW w:w="4675" w:type="dxa"/>
            <w:shd w:val="clear" w:color="auto" w:fill="1F4E79" w:themeFill="accent1" w:themeFillShade="80"/>
          </w:tcPr>
          <w:p w:rsidR="00AA51FC" w:rsidRPr="00AA51FC" w:rsidRDefault="00AA51FC" w:rsidP="00AA51FC">
            <w:pPr>
              <w:spacing w:after="160" w:line="259" w:lineRule="auto"/>
            </w:pPr>
            <w:r w:rsidRPr="00AA51FC">
              <w:t>Provision of support services such as specialized mattresses and heel supports. Getting pressure ulcer patients out of bed and repositioning bed-bound patients. Decrease in bone prominence pressure.</w:t>
            </w:r>
          </w:p>
        </w:tc>
      </w:tr>
      <w:tr w:rsidR="00AA51FC" w:rsidRPr="00AA51FC" w:rsidTr="00AA51FC">
        <w:tc>
          <w:tcPr>
            <w:tcW w:w="4675" w:type="dxa"/>
            <w:shd w:val="clear" w:color="auto" w:fill="538135" w:themeFill="accent6" w:themeFillShade="BF"/>
          </w:tcPr>
          <w:p w:rsidR="00AA51FC" w:rsidRPr="00AA51FC" w:rsidRDefault="00AA51FC" w:rsidP="00AA51FC">
            <w:pPr>
              <w:spacing w:after="160" w:line="259" w:lineRule="auto"/>
            </w:pPr>
            <w:r w:rsidRPr="00AA51FC">
              <w:t>Nutritional assessments</w:t>
            </w:r>
          </w:p>
        </w:tc>
        <w:tc>
          <w:tcPr>
            <w:tcW w:w="4675" w:type="dxa"/>
            <w:shd w:val="clear" w:color="auto" w:fill="538135" w:themeFill="accent6" w:themeFillShade="BF"/>
          </w:tcPr>
          <w:p w:rsidR="00AA51FC" w:rsidRPr="00AA51FC" w:rsidRDefault="00AA51FC" w:rsidP="00AA51FC">
            <w:pPr>
              <w:spacing w:after="160" w:line="259" w:lineRule="auto"/>
            </w:pPr>
            <w:r w:rsidRPr="00AA51FC">
              <w:t>Provision of proper nutrition to patients with Percutaneous Endoscopic Gastronomy Feeding hastening the healing processes of their bodies.</w:t>
            </w:r>
          </w:p>
        </w:tc>
      </w:tr>
      <w:tr w:rsidR="00AA51FC" w:rsidRPr="00AA51FC" w:rsidTr="00AA51FC">
        <w:tc>
          <w:tcPr>
            <w:tcW w:w="4675" w:type="dxa"/>
            <w:shd w:val="clear" w:color="auto" w:fill="F4B083" w:themeFill="accent2" w:themeFillTint="99"/>
          </w:tcPr>
          <w:p w:rsidR="00AA51FC" w:rsidRPr="00AA51FC" w:rsidRDefault="00AA51FC" w:rsidP="00AA51FC">
            <w:pPr>
              <w:spacing w:after="160" w:line="259" w:lineRule="auto"/>
            </w:pPr>
            <w:r w:rsidRPr="00AA51FC">
              <w:t xml:space="preserve">Evaluation </w:t>
            </w:r>
          </w:p>
        </w:tc>
        <w:tc>
          <w:tcPr>
            <w:tcW w:w="4675" w:type="dxa"/>
            <w:shd w:val="clear" w:color="auto" w:fill="F4B083" w:themeFill="accent2" w:themeFillTint="99"/>
          </w:tcPr>
          <w:p w:rsidR="00AA51FC" w:rsidRPr="00AA51FC" w:rsidRDefault="00AA51FC" w:rsidP="00AA51FC">
            <w:pPr>
              <w:spacing w:after="160" w:line="259" w:lineRule="auto"/>
            </w:pPr>
            <w:r w:rsidRPr="00AA51FC">
              <w:t xml:space="preserve">Monitoring fluctuation of mobility statutes in patients with chronic and acute mobility and transferring patients during their stay in the hospital.  </w:t>
            </w:r>
          </w:p>
        </w:tc>
      </w:tr>
    </w:tbl>
    <w:p w:rsidR="00B63362" w:rsidRDefault="00B63362"/>
    <w:sectPr w:rsidR="00B63362" w:rsidSect="00AA51FC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4AA4" w:rsidRDefault="00C44AA4" w:rsidP="00AA51FC">
      <w:pPr>
        <w:spacing w:after="0" w:line="240" w:lineRule="auto"/>
      </w:pPr>
      <w:r>
        <w:separator/>
      </w:r>
    </w:p>
  </w:endnote>
  <w:endnote w:type="continuationSeparator" w:id="0">
    <w:p w:rsidR="00C44AA4" w:rsidRDefault="00C44AA4" w:rsidP="00AA5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4AA4" w:rsidRDefault="00C44AA4" w:rsidP="00AA51FC">
      <w:pPr>
        <w:spacing w:after="0" w:line="240" w:lineRule="auto"/>
      </w:pPr>
      <w:r>
        <w:separator/>
      </w:r>
    </w:p>
  </w:footnote>
  <w:footnote w:type="continuationSeparator" w:id="0">
    <w:p w:rsidR="00C44AA4" w:rsidRDefault="00C44AA4" w:rsidP="00AA51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5106225"/>
      <w:docPartObj>
        <w:docPartGallery w:val="Page Numbers (Top of Page)"/>
        <w:docPartUnique/>
      </w:docPartObj>
    </w:sdtPr>
    <w:sdtEndPr>
      <w:rPr>
        <w:noProof/>
      </w:rPr>
    </w:sdtEndPr>
    <w:sdtContent>
      <w:p w:rsidR="00AA51FC" w:rsidRDefault="00AA51FC" w:rsidP="00AA51FC">
        <w:pPr>
          <w:pStyle w:val="Header"/>
        </w:pPr>
        <w:r w:rsidRPr="00AA51FC">
          <w:t>OUTCOME MEASURES, ISSUES AND OPPORTUNITIES SPREADSHEET</w:t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A51FC" w:rsidRDefault="00AA51F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51FC" w:rsidRDefault="00AA51FC">
    <w:pPr>
      <w:pStyle w:val="Header"/>
    </w:pPr>
    <w:r>
      <w:t xml:space="preserve">Running head: </w:t>
    </w:r>
    <w:r w:rsidRPr="00AA51FC">
      <w:t>OUTCOME MEASURES, ISSUES AND OPPORTUNITIES SPREADSHEET</w:t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1FC"/>
    <w:rsid w:val="00922D97"/>
    <w:rsid w:val="00AA51FC"/>
    <w:rsid w:val="00B63362"/>
    <w:rsid w:val="00C44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0D5383B-4221-4AA3-8D58-D2D3BC513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97"/>
    <w:pPr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51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A51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51FC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AA51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51FC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2020-05-17T09:26:00Z</dcterms:created>
  <dcterms:modified xsi:type="dcterms:W3CDTF">2020-05-17T09:28:00Z</dcterms:modified>
</cp:coreProperties>
</file>